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91F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ayout w:type="autofit"/>
        <w:tblLook w:val="04A0"/>
      </w:tblPr>
      <w:tblGrid/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б</w:t>
            </w:r>
            <w:r>
              <w:rPr>
                <w:b w:val="1"/>
                <w:sz w:val="24"/>
              </w:rPr>
              <w:t>яза</w:t>
            </w:r>
            <w:r>
              <w:rPr>
                <w:b w:val="1"/>
                <w:sz w:val="24"/>
              </w:rPr>
              <w:t>тельн</w:t>
            </w:r>
            <w:r>
              <w:rPr>
                <w:b w:val="1"/>
                <w:sz w:val="24"/>
              </w:rPr>
              <w:t>ая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 часть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Математика: алгебра и начала математического анализа, геометрия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</w:tr>
      <w:t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B3"/>
          </w:tcPr>
          <w:p>
            <w:pPr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Часть, формируемая участниками образовательных отношений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b w:val="1"/>
                <w:sz w:val="24"/>
              </w:rPr>
              <w:t>Наименование учебного курса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Пишем сочинение 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Спорт- здоровый образ жизни!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</w:tr>
      <w:tr>
        <w:trPr>
          <w:gridAfter w:val="0"/>
        </w:trPr>
        <w:tc>
          <w:tcPr>
            <w:tcW w:w="9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География: события, факты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